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60" w:line="288" w:lineRule="auto"/>
      </w:pPr>
      <w:r>
        <w:rPr>
          <w:rFonts w:ascii="Yu Gothic" w:hAnsi="Yu Gothic" w:eastAsia="Yu Gothic"/>
          <w:b/>
          <w:color w:val="2F6EAE"/>
          <w:sz w:val="18"/>
        </w:rPr>
        <w:t>学校内で確認する</w:t>
      </w:r>
    </w:p>
    <w:p>
      <w:pPr>
        <w:keepNext/>
        <w:spacing w:before="0" w:after="160" w:line="259" w:lineRule="auto"/>
      </w:pPr>
      <w:r>
        <w:rPr>
          <w:rFonts w:ascii="Yu Gothic" w:hAnsi="Yu Gothic" w:eastAsia="Yu Gothic"/>
          <w:b/>
          <w:color w:val="183B56"/>
          <w:sz w:val="48"/>
        </w:rPr>
        <w:t>入学前に伝える情報の</w:t>
        <w:br/>
        <w:t>抜け漏れチェック</w:t>
      </w:r>
    </w:p>
    <w:p>
      <w:pPr>
        <w:keepNext w:val="0"/>
        <w:spacing w:before="0" w:after="280" w:line="324" w:lineRule="auto"/>
      </w:pPr>
      <w:r>
        <w:rPr>
          <w:rFonts w:ascii="Yu Gothic" w:hAnsi="Yu Gothic" w:eastAsia="Yu Gothic"/>
          <w:b w:val="0"/>
          <w:color w:val="5F6F7B"/>
          <w:sz w:val="21"/>
        </w:rPr>
        <w:t>募集要項があるかではなく、学生が理解でき、学校の次の担当へつながるかを確認します。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vAlign w:val="center"/>
            <w:shd w:fill="E7EFF5"/>
            <w:tcBorders>
              <w:top w:val="single" w:sz="6" w:color="E7EFF5"/>
              <w:left w:val="single" w:sz="6" w:color="E7EFF5"/>
              <w:bottom w:val="single" w:sz="6" w:color="E7EFF5"/>
              <w:right w:val="single" w:sz="6" w:color="E7EFF5"/>
              <w:insideH w:val="single" w:sz="6" w:color="E7EFF5"/>
              <w:insideV w:val="single" w:sz="6" w:color="E7EFF5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19"/>
              </w:rPr>
              <w:t>学校名  __________________________________</w:t>
            </w:r>
          </w:p>
        </w:tc>
        <w:tc>
          <w:tcPr>
            <w:tcW w:type="dxa" w:w="4876"/>
            <w:vAlign w:val="center"/>
            <w:shd w:fill="E7EFF5"/>
            <w:tcBorders>
              <w:top w:val="single" w:sz="6" w:color="E7EFF5"/>
              <w:left w:val="single" w:sz="6" w:color="E7EFF5"/>
              <w:bottom w:val="single" w:sz="6" w:color="E7EFF5"/>
              <w:right w:val="single" w:sz="6" w:color="E7EFF5"/>
              <w:insideH w:val="single" w:sz="6" w:color="E7EFF5"/>
              <w:insideV w:val="single" w:sz="6" w:color="E7EFF5"/>
            </w:tcBorders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19"/>
              </w:rPr>
              <w:t>確認担当  ________________________________</w:t>
            </w:r>
          </w:p>
        </w:tc>
      </w:tr>
    </w:tbl>
    <w:p>
      <w:pPr>
        <w:keepNext/>
        <w:spacing w:before="320" w:after="140" w:line="288" w:lineRule="auto"/>
      </w:pPr>
      <w:r>
        <w:rPr>
          <w:rFonts w:ascii="Yu Gothic" w:hAnsi="Yu Gothic" w:eastAsia="Yu Gothic"/>
          <w:b/>
          <w:color w:val="183B56"/>
          <w:sz w:val="28"/>
        </w:rPr>
        <w:t>学生が最初に確認する情報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67"/>
        <w:gridCol w:w="6973"/>
        <w:gridCol w:w="2211"/>
      </w:tblGrid>
      <w:tr>
        <w:tc>
          <w:tcPr>
            <w:tcW w:type="dxa" w:w="567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確認</w:t>
            </w:r>
          </w:p>
        </w:tc>
        <w:tc>
          <w:tcPr>
            <w:tcW w:type="dxa" w:w="6973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項目と確認内容</w:t>
            </w:r>
          </w:p>
        </w:tc>
        <w:tc>
          <w:tcPr>
            <w:tcW w:type="dxa" w:w="2211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結果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募集要項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対象となる入学期、募集人数、申込方法が一つの場所で分かる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学費と生活費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納付額、時期、返金条件、想定生活費、誰が支払うかを説明できる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入学条件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教育歴、日本語学習歴、年齢などの基本条件を確認できる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必要書類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本人、家族、学校、勤務先の誰が準備する書類か分かる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</w:tbl>
    <w:p>
      <w:pPr>
        <w:keepNext/>
        <w:spacing w:before="240" w:after="140" w:line="288" w:lineRule="auto"/>
      </w:pPr>
      <w:r>
        <w:rPr>
          <w:rFonts w:ascii="Yu Gothic" w:hAnsi="Yu Gothic" w:eastAsia="Yu Gothic"/>
          <w:b/>
          <w:color w:val="183B56"/>
          <w:sz w:val="28"/>
        </w:rPr>
        <w:t>相談から受け入れへ渡す情報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67"/>
        <w:gridCol w:w="6973"/>
        <w:gridCol w:w="2211"/>
      </w:tblGrid>
      <w:tr>
        <w:tc>
          <w:tcPr>
            <w:tcW w:type="dxa" w:w="567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確認</w:t>
            </w:r>
          </w:p>
        </w:tc>
        <w:tc>
          <w:tcPr>
            <w:tcW w:type="dxa" w:w="6973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項目と確認内容</w:t>
            </w:r>
          </w:p>
        </w:tc>
        <w:tc>
          <w:tcPr>
            <w:tcW w:type="dxa" w:w="2211"/>
            <w:shd w:fill="183B56"/>
            <w:tcBorders>
              <w:top w:val="single" w:sz="6" w:color="183B56"/>
              <w:left w:val="single" w:sz="6" w:color="183B56"/>
              <w:bottom w:val="single" w:sz="6" w:color="183B56"/>
              <w:right w:val="single" w:sz="6" w:color="183B56"/>
              <w:insideH w:val="single" w:sz="6" w:color="183B56"/>
              <w:insideV w:val="single" w:sz="6" w:color="183B56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17"/>
              </w:rPr>
              <w:t>結果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相談窓口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連絡方法、対応言語、学校が返答する範囲が明確になっている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面接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確認する目的、準備物、結果の伝え方を説明できる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出願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提出、確認、差し戻し、完了の状態を担当者間で共有できる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  <w:tr>
        <w:tc>
          <w:tcPr>
            <w:tcW w:type="dxa" w:w="567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288" w:lineRule="auto"/>
              <w:jc w:val="center"/>
            </w:pPr>
            <w:r>
              <w:rPr>
                <w:rFonts w:ascii="Yu Gothic" w:hAnsi="Yu Gothic" w:eastAsia="Yu Gothic"/>
                <w:b w:val="0"/>
                <w:color w:val="2F6EAE"/>
                <w:sz w:val="30"/>
              </w:rPr>
              <w:t>□</w:t>
            </w:r>
          </w:p>
        </w:tc>
        <w:tc>
          <w:tcPr>
            <w:tcW w:type="dxa" w:w="6973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4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1"/>
              </w:rPr>
              <w:t>受け入れ担当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相談経緯、本人の目的、学校判断を聞き直さずに引き継げる</w:t>
            </w:r>
          </w:p>
        </w:tc>
        <w:tc>
          <w:tcPr>
            <w:tcW w:type="dxa" w:w="2211"/>
            <w:vAlign w:val="center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keepNext w:val="0"/>
              <w:spacing w:before="0" w:after="0" w:line="336" w:lineRule="auto"/>
              <w:jc w:val="center"/>
            </w:pPr>
            <w:r>
              <w:rPr>
                <w:rFonts w:ascii="Yu Gothic" w:hAnsi="Yu Gothic" w:eastAsia="Yu Gothic"/>
                <w:b w:val="0"/>
                <w:color w:val="5F6F7B"/>
                <w:sz w:val="17"/>
              </w:rPr>
              <w:t>確認</w:t>
              <w:br/>
              <w:t>要修正</w:t>
              <w:br/>
              <w:t>対象外</w:t>
            </w:r>
          </w:p>
        </w:tc>
      </w:tr>
    </w:tbl>
    <w:p>
      <w:pPr>
        <w:keepNext/>
        <w:spacing w:before="320" w:after="120" w:line="288" w:lineRule="auto"/>
      </w:pPr>
      <w:r>
        <w:rPr>
          <w:rFonts w:ascii="Yu Gothic" w:hAnsi="Yu Gothic" w:eastAsia="Yu Gothic"/>
          <w:b/>
          <w:color w:val="2F6EAE"/>
          <w:sz w:val="22"/>
        </w:rPr>
        <w:t>判断の境界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fill="E7EFF5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keepNext w:val="0"/>
              <w:spacing w:before="0" w:after="8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0"/>
              </w:rPr>
              <w:t>仕組みに任せる</w:t>
            </w:r>
          </w:p>
          <w:p>
            <w:pPr>
              <w:keepNext w:val="0"/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学校一次情報の案内、相談前の確認、記録の共有</w:t>
            </w:r>
          </w:p>
        </w:tc>
        <w:tc>
          <w:tcPr>
            <w:tcW w:type="dxa" w:w="4876"/>
            <w:shd w:fill="FFFFFF"/>
            <w:tcBorders>
              <w:top w:val="single" w:sz="6" w:color="CFD9DF"/>
              <w:left w:val="single" w:sz="6" w:color="CFD9DF"/>
              <w:bottom w:val="single" w:sz="6" w:color="CFD9DF"/>
              <w:right w:val="single" w:sz="6" w:color="CFD9DF"/>
              <w:insideH w:val="single" w:sz="6" w:color="CFD9DF"/>
              <w:insideV w:val="single" w:sz="6" w:color="CFD9DF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keepNext w:val="0"/>
              <w:spacing w:before="0" w:after="80" w:line="288" w:lineRule="auto"/>
            </w:pPr>
            <w:r>
              <w:rPr>
                <w:rFonts w:ascii="Yu Gothic" w:hAnsi="Yu Gothic" w:eastAsia="Yu Gothic"/>
                <w:b/>
                <w:color w:val="183B56"/>
                <w:sz w:val="20"/>
              </w:rPr>
              <w:t>学校が担う</w:t>
            </w:r>
          </w:p>
          <w:p>
            <w:pPr>
              <w:keepNext w:val="0"/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color w:val="5F6F7B"/>
                <w:sz w:val="18"/>
              </w:rPr>
              <w:t>本人との対話、面接、受け入れ可否、教育方針</w:t>
            </w:r>
          </w:p>
        </w:tc>
      </w:tr>
    </w:tbl>
    <w:p>
      <w:pPr>
        <w:keepNext w:val="0"/>
        <w:spacing w:before="200" w:after="0" w:line="312" w:lineRule="auto"/>
      </w:pPr>
      <w:r>
        <w:rPr>
          <w:rFonts w:ascii="Yu Gothic" w:hAnsi="Yu Gothic" w:eastAsia="Yu Gothic"/>
          <w:b/>
          <w:color w:val="5F6F7B"/>
          <w:sz w:val="17"/>
        </w:rPr>
        <w:t>確認メモ  ____________________________________________________________________________________</w:t>
        <w:br/>
      </w:r>
      <w:r>
        <w:rPr>
          <w:rFonts w:ascii="Yu Gothic" w:hAnsi="Yu Gothic" w:eastAsia="Yu Gothic"/>
          <w:b w:val="0"/>
          <w:color w:val="5F6F7B"/>
          <w:sz w:val="17"/>
        </w:rPr>
        <w:t>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Yu Gothic" w:hAnsi="Yu Gothic" w:eastAsia="Yu Gothic"/>
        <w:b w:val="0"/>
        <w:color w:val="5F6F7B"/>
        <w:sz w:val="15"/>
      </w:rPr>
      <w:t>情報整理は合否判定ではありません。本人との対話と受け入れ判断は学校が行います。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Yu Gothic" w:hAnsi="Yu Gothic" w:eastAsia="Yu Gothic"/>
        <w:b/>
        <w:color w:val="5F6F7B"/>
        <w:sz w:val="17"/>
      </w:rPr>
      <w:t>ATLAS  |  学校向け実務資料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Yu Gothic" w:hAnsi="Yu Gothic" w:eastAsia="Yu Gothic"/>
      <w:color w:val="1625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ATLAS 入学前情報チェックリスト</dc:title>
  <dc:subject>日本語学校向け入学実務資料</dc:subject>
  <dc:creator>ATLAS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